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1" w:rsidRPr="00AE1DA9" w:rsidRDefault="00EC3791" w:rsidP="00EC3791">
      <w:pPr>
        <w:jc w:val="center"/>
        <w:rPr>
          <w:rFonts w:ascii="Impact" w:hAnsi="Impact" w:cs="Gill Sans"/>
          <w:sz w:val="28"/>
        </w:rPr>
      </w:pPr>
      <w:r w:rsidRPr="00AE1DA9">
        <w:rPr>
          <w:rFonts w:ascii="Impact" w:hAnsi="Impact" w:cs="Gill Sans"/>
          <w:sz w:val="28"/>
        </w:rPr>
        <w:t>Common Core Math 1</w:t>
      </w:r>
    </w:p>
    <w:p w:rsidR="00AE1DA9" w:rsidRDefault="00434EF6" w:rsidP="00EC3791">
      <w:pPr>
        <w:jc w:val="center"/>
        <w:rPr>
          <w:rFonts w:ascii="Impact" w:hAnsi="Impact" w:cs="Gill Sans"/>
        </w:rPr>
      </w:pPr>
      <w:r>
        <w:rPr>
          <w:rFonts w:ascii="Impact" w:hAnsi="Impact" w:cs="Gill Sans"/>
        </w:rPr>
        <w:t>Definitions and Formulas</w:t>
      </w:r>
      <w:r w:rsidR="00DB6258">
        <w:rPr>
          <w:rFonts w:ascii="Impact" w:hAnsi="Impact" w:cs="Gill Sans"/>
        </w:rPr>
        <w:t xml:space="preserve"> Students Might Need to Know</w:t>
      </w:r>
      <w:bookmarkStart w:id="0" w:name="_GoBack"/>
      <w:bookmarkEnd w:id="0"/>
    </w:p>
    <w:p w:rsidR="00434EF6" w:rsidRDefault="00434EF6" w:rsidP="00EC3791">
      <w:pPr>
        <w:jc w:val="center"/>
        <w:rPr>
          <w:rFonts w:ascii="Impact" w:hAnsi="Impact" w:cs="Gill Sans"/>
        </w:rPr>
      </w:pPr>
    </w:p>
    <w:tbl>
      <w:tblPr>
        <w:tblW w:w="10494" w:type="dxa"/>
        <w:tblInd w:w="-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390"/>
        <w:gridCol w:w="8087"/>
      </w:tblGrid>
      <w:tr w:rsidR="00EC3791" w:rsidRPr="00EC3791" w:rsidTr="00434EF6">
        <w:trPr>
          <w:trHeight w:val="176"/>
          <w:tblHeader/>
        </w:trPr>
        <w:tc>
          <w:tcPr>
            <w:tcW w:w="2898" w:type="dxa"/>
            <w:gridSpan w:val="2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C3791" w:rsidRPr="00EC3791" w:rsidRDefault="00EC3791" w:rsidP="00434EF6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b/>
                <w:bCs/>
                <w:color w:val="111111"/>
                <w:sz w:val="22"/>
                <w:szCs w:val="22"/>
              </w:rPr>
              <w:t>Concept/Vocabulary Word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C3791" w:rsidRPr="00EC3791" w:rsidRDefault="00434EF6" w:rsidP="00EC379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111111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11111"/>
                <w:sz w:val="22"/>
                <w:szCs w:val="22"/>
              </w:rPr>
              <w:t>Definition/Formula</w:t>
            </w:r>
          </w:p>
        </w:tc>
      </w:tr>
      <w:tr w:rsidR="00EC3791" w:rsidRPr="00EC3791" w:rsidTr="00434EF6">
        <w:trPr>
          <w:trHeight w:val="181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measures of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Numerical measures that describe the typical value of a quantitative data set. In this unit, we will be studying the mean and the median.</w:t>
            </w:r>
          </w:p>
        </w:tc>
      </w:tr>
      <w:tr w:rsidR="00EC3791" w:rsidRPr="00EC3791" w:rsidTr="00434EF6">
        <w:trPr>
          <w:trHeight w:val="181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measures of spread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Numerical measures that describe how </w:t>
            </w:r>
            <w:proofErr w:type="gramStart"/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much values</w:t>
            </w:r>
            <w:proofErr w:type="gramEnd"/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 typically vary from the center in a quantitative data set. In this unit, we will be studying interquartile range and standard deviation.</w:t>
            </w:r>
          </w:p>
        </w:tc>
      </w:tr>
      <w:tr w:rsidR="00EC3791" w:rsidRPr="00EC3791" w:rsidTr="00434EF6">
        <w:trPr>
          <w:trHeight w:val="91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AE1DA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A numerical measure of center that is the arithmetic average of the data. </w:t>
            </w:r>
            <m:oMath>
              <m:r>
                <w:rPr>
                  <w:rFonts w:ascii="Cambria Math" w:eastAsia="Times New Roman" w:hAnsi="Cambria Math" w:cs="Arial"/>
                  <w:color w:val="111111"/>
                  <w:sz w:val="22"/>
                  <w:szCs w:val="22"/>
                </w:rPr>
                <m:t xml:space="preserve">                      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2"/>
                </w:rPr>
                <m:t>Mean=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Sum of the data items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total number of data items</m:t>
                  </m:r>
                </m:den>
              </m:f>
            </m:oMath>
          </w:p>
        </w:tc>
      </w:tr>
      <w:tr w:rsidR="00EC3791" w:rsidRPr="00EC3791" w:rsidTr="00434EF6">
        <w:trPr>
          <w:trHeight w:val="544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mean absolute deviation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A numerical measure of spread that shows how much data values vary from the mean for a quantitative data set. </w:t>
            </w:r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>A low mean absolute deviation indicates that the data points tend to be very close to the</w:t>
            </w:r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  <w:hyperlink r:id="rId8" w:tooltip="Mean" w:history="1">
              <w:r w:rsidRPr="00EC3791">
                <w:rPr>
                  <w:rFonts w:asciiTheme="majorHAnsi" w:eastAsia="Times New Roman" w:hAnsiTheme="majorHAnsi" w:cs="Arial"/>
                  <w:color w:val="0B0080"/>
                  <w:sz w:val="22"/>
                  <w:szCs w:val="22"/>
                </w:rPr>
                <w:t>mean</w:t>
              </w:r>
            </w:hyperlink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>, whereas a high mean absolute deviation indicates that the data points are spread out over a large range of values. The process of calculating the mean absolute deviation involves taking the absolute value of the deviations from the mean.</w:t>
            </w:r>
          </w:p>
        </w:tc>
      </w:tr>
      <w:tr w:rsidR="00EC3791" w:rsidRPr="00EC3791" w:rsidTr="00434EF6">
        <w:trPr>
          <w:trHeight w:val="358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A numerical measure of center that describes the middle value of a data set. Note that the median does not have to be one of the values in the data set, but a value that divides the data set in half so that 50% of the data values lie above the median and 50% of the data values fall below the median.</w:t>
            </w:r>
          </w:p>
        </w:tc>
      </w:tr>
      <w:tr w:rsidR="00EC3791" w:rsidRPr="00EC3791" w:rsidTr="00434EF6">
        <w:trPr>
          <w:trHeight w:val="454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standard deviation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A numerical measure of spread that shows how much data values vary from the mean for a quantitative data set. </w:t>
            </w:r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>A low standard deviation indicates that the data points tend to be very close to the</w:t>
            </w:r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 </w:t>
            </w:r>
            <w:hyperlink r:id="rId9" w:tooltip="Mean" w:history="1">
              <w:r w:rsidRPr="00EC3791">
                <w:rPr>
                  <w:rFonts w:asciiTheme="majorHAnsi" w:eastAsia="Times New Roman" w:hAnsiTheme="majorHAnsi" w:cs="Arial"/>
                  <w:color w:val="0B0080"/>
                  <w:sz w:val="22"/>
                  <w:szCs w:val="22"/>
                </w:rPr>
                <w:t>mean</w:t>
              </w:r>
            </w:hyperlink>
            <w:r w:rsidRPr="00EC379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>, whereas a high standard deviation indicates that the data points are spread out over a large range of values. The process of calculating the standard deviation involves squaring the deviations from the mean.</w:t>
            </w:r>
          </w:p>
        </w:tc>
      </w:tr>
      <w:tr w:rsidR="00EC3791" w:rsidRPr="00EC3791" w:rsidTr="00434EF6">
        <w:trPr>
          <w:trHeight w:val="181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interquartile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A measure of the spread of the middle 50% of a set of quant</w:t>
            </w:r>
            <w:r w:rsidR="008C6F15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it</w:t>
            </w: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ative data; the difference between the upper and lower quartiles. 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Cs w:val="22"/>
                <w:shd w:val="clear" w:color="auto" w:fill="FFFFFF"/>
              </w:rPr>
              <w:t>IQR =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Cs w:val="22"/>
              </w:rPr>
              <w:t xml:space="preserve"> </w:t>
            </w:r>
            <w:r w:rsidRPr="005135AE">
              <w:rPr>
                <w:rFonts w:asciiTheme="majorHAnsi" w:eastAsia="Times New Roman" w:hAnsiTheme="majorHAnsi" w:cs="Arial"/>
                <w:b/>
                <w:i/>
                <w:iCs/>
                <w:color w:val="FF0000"/>
                <w:szCs w:val="22"/>
              </w:rPr>
              <w:t>Q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Cs w:val="22"/>
                <w:shd w:val="clear" w:color="auto" w:fill="FFFFFF"/>
                <w:vertAlign w:val="subscript"/>
              </w:rPr>
              <w:t>3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Cs w:val="22"/>
                <w:shd w:val="clear" w:color="auto" w:fill="FFFFFF"/>
              </w:rPr>
              <w:t xml:space="preserve"> − </w:t>
            </w:r>
            <w:r w:rsidRPr="005135AE">
              <w:rPr>
                <w:rFonts w:asciiTheme="majorHAnsi" w:eastAsia="Times New Roman" w:hAnsiTheme="majorHAnsi" w:cs="Arial"/>
                <w:b/>
                <w:i/>
                <w:iCs/>
                <w:color w:val="FF0000"/>
                <w:szCs w:val="22"/>
              </w:rPr>
              <w:t>Q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Cs w:val="22"/>
                <w:shd w:val="clear" w:color="auto" w:fill="FFFFFF"/>
                <w:vertAlign w:val="subscript"/>
              </w:rPr>
              <w:t>1</w:t>
            </w:r>
          </w:p>
        </w:tc>
      </w:tr>
      <w:tr w:rsidR="00EC3791" w:rsidRPr="00EC3791" w:rsidTr="00434EF6">
        <w:trPr>
          <w:trHeight w:val="282"/>
        </w:trPr>
        <w:tc>
          <w:tcPr>
            <w:tcW w:w="2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>outlier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C3791" w:rsidRPr="00EC3791" w:rsidRDefault="00EC3791" w:rsidP="00EC379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</w:pPr>
            <w:r w:rsidRPr="00EC3791">
              <w:rPr>
                <w:rFonts w:asciiTheme="majorHAnsi" w:eastAsia="Times New Roman" w:hAnsiTheme="majorHAnsi" w:cs="Arial"/>
                <w:color w:val="111111"/>
                <w:sz w:val="22"/>
                <w:szCs w:val="22"/>
              </w:rPr>
              <w:t xml:space="preserve">A data value that does not fit the overall pattern of the data distribution. In the case of one-variable data, an outlier is </w:t>
            </w:r>
            <w:r w:rsidRPr="005135AE">
              <w:rPr>
                <w:rFonts w:asciiTheme="majorHAnsi" w:eastAsia="Times New Roman" w:hAnsiTheme="majorHAnsi" w:cs="Arial"/>
                <w:b/>
                <w:color w:val="FF0000"/>
                <w:sz w:val="22"/>
                <w:szCs w:val="22"/>
              </w:rPr>
              <w:t>a value that is more than 1.5 IQR above the third quartile or below the first quartile.</w:t>
            </w:r>
          </w:p>
        </w:tc>
      </w:tr>
      <w:tr w:rsidR="00A27238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0C3587" w:rsidRDefault="00A27238" w:rsidP="005135AE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Distributive Property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E1DA9" w:rsidRDefault="00A27238" w:rsidP="00AE1D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 xml:space="preserve">For every real number a, b, and c: </w:t>
            </w:r>
          </w:p>
          <w:p w:rsidR="00A27238" w:rsidRPr="000C3587" w:rsidRDefault="00A27238" w:rsidP="00AE1D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a(b + c) = </w:t>
            </w:r>
            <w:proofErr w:type="spellStart"/>
            <w:r w:rsidRPr="00AE1DA9">
              <w:rPr>
                <w:rFonts w:ascii="Arial" w:eastAsia="Times New Roman" w:hAnsi="Arial" w:cs="Arial"/>
                <w:b/>
                <w:color w:val="FF0000"/>
              </w:rPr>
              <w:t>ab</w:t>
            </w:r>
            <w:proofErr w:type="spellEnd"/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="00AE1DA9" w:rsidRPr="00AE1DA9">
              <w:rPr>
                <w:rFonts w:ascii="Arial" w:eastAsia="Times New Roman" w:hAnsi="Arial" w:cs="Arial"/>
                <w:b/>
                <w:color w:val="FF0000"/>
              </w:rPr>
              <w:t xml:space="preserve">+ </w:t>
            </w:r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ac and a(b - c) = </w:t>
            </w:r>
            <w:proofErr w:type="spellStart"/>
            <w:r w:rsidRPr="00AE1DA9">
              <w:rPr>
                <w:rFonts w:ascii="Arial" w:eastAsia="Times New Roman" w:hAnsi="Arial" w:cs="Arial"/>
                <w:b/>
                <w:color w:val="FF0000"/>
              </w:rPr>
              <w:t>ab</w:t>
            </w:r>
            <w:proofErr w:type="spellEnd"/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="00AE1DA9" w:rsidRPr="00AE1DA9">
              <w:rPr>
                <w:rFonts w:ascii="Arial" w:eastAsia="Times New Roman" w:hAnsi="Arial" w:cs="Arial"/>
                <w:b/>
                <w:color w:val="FF0000"/>
              </w:rPr>
              <w:t xml:space="preserve">– </w:t>
            </w:r>
            <w:r w:rsidRPr="00AE1DA9">
              <w:rPr>
                <w:rFonts w:ascii="Arial" w:eastAsia="Times New Roman" w:hAnsi="Arial" w:cs="Arial"/>
                <w:b/>
                <w:color w:val="FF0000"/>
              </w:rPr>
              <w:t>ac.</w:t>
            </w:r>
          </w:p>
        </w:tc>
      </w:tr>
      <w:tr w:rsidR="00A27238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0C3587" w:rsidRDefault="00A27238" w:rsidP="005135AE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Distance Formula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0C3587" w:rsidRDefault="00A27238" w:rsidP="00AE1D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 xml:space="preserve">The distance d between any two points is given by the formula </w:t>
            </w:r>
            <w:r w:rsidR="00AE1DA9">
              <w:rPr>
                <w:rFonts w:ascii="Arial" w:eastAsia="Times New Roman" w:hAnsi="Arial" w:cs="Arial"/>
                <w:color w:val="111111"/>
              </w:rPr>
              <w:t xml:space="preserve">                </w:t>
            </w:r>
            <w:r w:rsidRPr="00AE1DA9">
              <w:rPr>
                <w:rFonts w:ascii="Arial" w:eastAsia="Times New Roman" w:hAnsi="Arial" w:cs="Arial"/>
                <w:b/>
                <w:color w:val="FF0000"/>
              </w:rPr>
              <w:t>d 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A27238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0C3587" w:rsidRDefault="0077331A" w:rsidP="005135AE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Midpoint Formula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Default="0077331A" w:rsidP="007733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The midpoint M of a line segment with endpoints A and B is</w:t>
            </w:r>
          </w:p>
          <w:p w:rsidR="00A27238" w:rsidRPr="0077331A" w:rsidRDefault="0077331A" w:rsidP="007733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11111"/>
              </w:rPr>
            </w:pPr>
            <w:r w:rsidRPr="0077331A">
              <w:rPr>
                <w:rFonts w:ascii="Arial" w:eastAsia="Times New Roman" w:hAnsi="Arial" w:cs="Arial"/>
                <w:b/>
                <w:color w:val="111111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8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 w:val="28"/>
                    </w:rPr>
                    <m:t xml:space="preserve">,  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color w:val="FF0000"/>
                              <w:sz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Pythagorean Theorem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 xml:space="preserve">The Pythagorean Theorem describes the relationship of the lengths of the sides of a right triangle where in any right </w:t>
            </w:r>
            <w:proofErr w:type="gramStart"/>
            <w:r w:rsidRPr="000C3587">
              <w:rPr>
                <w:rFonts w:ascii="Arial" w:eastAsia="Times New Roman" w:hAnsi="Arial" w:cs="Arial"/>
                <w:color w:val="111111"/>
              </w:rPr>
              <w:t>triangle,</w:t>
            </w:r>
            <w:proofErr w:type="gramEnd"/>
            <w:r w:rsidRPr="000C3587">
              <w:rPr>
                <w:rFonts w:ascii="Arial" w:eastAsia="Times New Roman" w:hAnsi="Arial" w:cs="Arial"/>
                <w:color w:val="111111"/>
              </w:rPr>
              <w:t xml:space="preserve"> the sum of the squares of the lengths of the legs is equal to the square of the length of the hypotenuse.</w:t>
            </w:r>
            <w:r>
              <w:rPr>
                <w:rFonts w:ascii="Arial" w:eastAsia="Times New Roman" w:hAnsi="Arial" w:cs="Arial"/>
                <w:color w:val="11111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Area of a circle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4EF6" w:rsidRPr="00434EF6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 xml:space="preserve">Area of a circle is given by </w:t>
            </w:r>
            <w:r>
              <w:rPr>
                <w:rFonts w:ascii="Arial" w:eastAsia="Times New Roman" w:hAnsi="Arial" w:cs="Arial"/>
                <w:noProof/>
                <w:color w:val="111111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Picture 1" descr="http://cmapp.wcpss.net/cgi-bin/mimetex.cgi?%5Cdisplaystyle%5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app.wcpss.net/cgi-bin/mimetex.cgi?%5Cdisplaystyle%5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587">
              <w:rPr>
                <w:rFonts w:ascii="Arial" w:eastAsia="Times New Roman" w:hAnsi="Arial" w:cs="Arial"/>
                <w:color w:val="111111"/>
              </w:rPr>
              <w:t>times the square of the radius</w:t>
            </w:r>
            <w:r>
              <w:rPr>
                <w:rFonts w:ascii="Arial" w:eastAsia="Times New Roman" w:hAnsi="Arial" w:cs="Arial"/>
                <w:color w:val="111111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A= π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lastRenderedPageBreak/>
              <w:t>Circumference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Circumference is the perimeter of or distance around a circle given by times the diameter of the circle</w:t>
            </w:r>
            <w:r w:rsidRPr="00AE1DA9">
              <w:rPr>
                <w:rFonts w:ascii="Arial" w:eastAsia="Times New Roman" w:hAnsi="Arial" w:cs="Arial"/>
                <w:color w:val="111111"/>
                <w:sz w:val="22"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C= πd or 2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πr</m:t>
              </m:r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 xml:space="preserve">cone 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proofErr w:type="gramStart"/>
            <w:r w:rsidRPr="000C3587">
              <w:rPr>
                <w:rFonts w:ascii="Arial" w:eastAsia="Times New Roman" w:hAnsi="Arial" w:cs="Arial"/>
                <w:color w:val="111111"/>
              </w:rPr>
              <w:t>a</w:t>
            </w:r>
            <w:proofErr w:type="gramEnd"/>
            <w:r w:rsidRPr="000C3587">
              <w:rPr>
                <w:rFonts w:ascii="Arial" w:eastAsia="Times New Roman" w:hAnsi="Arial" w:cs="Arial"/>
                <w:color w:val="111111"/>
              </w:rPr>
              <w:t xml:space="preserve"> solid, 3-dimensional figure with one vertex and one circular base.</w:t>
            </w:r>
          </w:p>
          <w:p w:rsidR="0077331A" w:rsidRPr="000C3587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Volume of a </w:t>
            </w:r>
            <w:r>
              <w:rPr>
                <w:rFonts w:ascii="Arial" w:eastAsia="Times New Roman" w:hAnsi="Arial" w:cs="Arial"/>
                <w:b/>
                <w:color w:val="FF0000"/>
              </w:rPr>
              <w:t>Cone</w:t>
            </w:r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h</m:t>
              </m:r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Cylinder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331A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A solid, 3-dimensional figure with a curved side and two circular, congruent bases that are in parallel planes</w:t>
            </w:r>
          </w:p>
          <w:p w:rsidR="0077331A" w:rsidRPr="00AE1DA9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</w:rPr>
            </w:pPr>
            <w:r w:rsidRPr="00AE1DA9">
              <w:rPr>
                <w:rFonts w:ascii="Arial" w:eastAsia="Times New Roman" w:hAnsi="Arial" w:cs="Arial"/>
                <w:b/>
                <w:color w:val="FF0000"/>
              </w:rPr>
              <w:t xml:space="preserve">Volume of a Cylinder: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</w:rPr>
                <m:t>h</m:t>
              </m:r>
            </m:oMath>
          </w:p>
        </w:tc>
      </w:tr>
      <w:tr w:rsidR="0077331A" w:rsidRPr="000C3587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7331A" w:rsidRPr="000C3587" w:rsidRDefault="0077331A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Sphere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7331A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0C3587">
              <w:rPr>
                <w:rFonts w:ascii="Arial" w:eastAsia="Times New Roman" w:hAnsi="Arial" w:cs="Arial"/>
                <w:color w:val="111111"/>
              </w:rPr>
              <w:t>A three dimensional solid that is perfectly round, ex. A ball.</w:t>
            </w:r>
          </w:p>
          <w:p w:rsidR="0077331A" w:rsidRPr="00C53EB8" w:rsidRDefault="0077331A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</w:rPr>
            </w:pPr>
            <w:r w:rsidRPr="00C53EB8">
              <w:rPr>
                <w:rFonts w:ascii="Arial" w:eastAsia="Times New Roman" w:hAnsi="Arial" w:cs="Arial"/>
                <w:b/>
                <w:color w:val="FF0000"/>
              </w:rPr>
              <w:t xml:space="preserve">Volume of a Sphere: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000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</w:rPr>
                    <m:t>3</m:t>
                  </m:r>
                </m:sup>
              </m:sSup>
            </m:oMath>
          </w:p>
        </w:tc>
      </w:tr>
      <w:tr w:rsidR="00A27238" w:rsidRPr="000A6DC1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B94135" w:rsidRDefault="00573E50" w:rsidP="005135AE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Slope Intercept Form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B94135" w:rsidRDefault="00573E50" w:rsidP="00573E5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The equation of a line with given slope and y-intercept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0"/>
                </w:rPr>
                <m:t>y=mx+b</m:t>
              </m:r>
            </m:oMath>
          </w:p>
        </w:tc>
      </w:tr>
      <w:tr w:rsidR="00A27238" w:rsidRPr="000A6DC1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B94135" w:rsidRDefault="00A27238" w:rsidP="005135AE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Point-Slope Form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27238" w:rsidRPr="00573E50" w:rsidRDefault="00A27238" w:rsidP="00573E5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The equation of a non-vertical line that passes through the point </w:t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11111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11111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111111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111111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111111"/>
                      <w:sz w:val="20"/>
                      <w:szCs w:val="20"/>
                    </w:rPr>
                    <m:t xml:space="preserve"> ,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11111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111111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111111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Arial"/>
                  <w:color w:val="111111"/>
                  <w:sz w:val="20"/>
                  <w:szCs w:val="20"/>
                </w:rPr>
                <m:t xml:space="preserve"> </m:t>
              </m:r>
            </m:oMath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with slope </w:t>
            </w:r>
            <w:r w:rsidRPr="00B94135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m</w:t>
            </w: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0"/>
                </w:rPr>
                <m:t xml:space="preserve">y-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0"/>
                </w:rPr>
                <m:t>=m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0"/>
                    </w:rPr>
                    <m:t xml:space="preserve">x-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</w:p>
        </w:tc>
      </w:tr>
      <w:tr w:rsidR="00573E50" w:rsidRPr="000A6DC1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73E50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form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73E5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2"/>
                  <w:szCs w:val="20"/>
                </w:rPr>
                <m:t>Ax+By=C</m:t>
              </m:r>
            </m:oMath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where A, B, C are real numbers and A and B are not both zero</w:t>
            </w:r>
          </w:p>
        </w:tc>
      </w:tr>
      <w:tr w:rsidR="00573E50" w:rsidRPr="000A6DC1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73E50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Direct Variation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73E5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a linear function that can be expressed in the for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m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2"/>
                  <w:szCs w:val="20"/>
                </w:rPr>
                <m:t xml:space="preserve">y=kx 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0000"/>
                  <w:sz w:val="22"/>
                  <w:szCs w:val="20"/>
                </w:rPr>
                <m:t>where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2"/>
                  <w:szCs w:val="20"/>
                </w:rPr>
                <m:t xml:space="preserve"> k≠0</m:t>
              </m:r>
            </m:oMath>
          </w:p>
        </w:tc>
      </w:tr>
      <w:tr w:rsidR="00573E50" w:rsidRPr="000A6DC1" w:rsidTr="00434EF6">
        <w:tc>
          <w:tcPr>
            <w:tcW w:w="2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135AE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94135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Slope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573E50" w:rsidRPr="00B94135" w:rsidRDefault="00573E50" w:rsidP="00573E5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573E50">
              <w:rPr>
                <w:rFonts w:ascii="Arial" w:eastAsia="Times New Roman" w:hAnsi="Arial" w:cs="Arial"/>
                <w:color w:val="111111"/>
                <w:sz w:val="22"/>
                <w:szCs w:val="20"/>
              </w:rPr>
              <w:t xml:space="preserve">a number used to describe the steepness, incline, gradient, or grade of a straight line; the ratio of the "rise" (vertical change) to the "run" (horizontal change) of any two points on the line: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 w:val="32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32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 w:val="32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32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32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 w:val="32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b/>
                          <w:i/>
                          <w:color w:val="FF0000"/>
                          <w:sz w:val="32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32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</w:p>
        </w:tc>
      </w:tr>
      <w:tr w:rsidR="00A27238" w:rsidRPr="00827878" w:rsidTr="00434EF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5135AE">
            <w:pPr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 xml:space="preserve">NOW-NEXT 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7733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proofErr w:type="gramStart"/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is</w:t>
            </w:r>
            <w:proofErr w:type="gramEnd"/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 xml:space="preserve"> the recursive process of getting from one number to the next number in the sequence</w:t>
            </w:r>
            <w:r w:rsidRPr="00573E50">
              <w:rPr>
                <w:rFonts w:ascii="Arial" w:eastAsia="Times New Roman" w:hAnsi="Arial" w:cs="Arial"/>
                <w:szCs w:val="22"/>
              </w:rPr>
              <w:t>.</w:t>
            </w:r>
            <w:r w:rsidR="00573E50" w:rsidRPr="00573E50">
              <w:rPr>
                <w:rFonts w:ascii="Arial" w:eastAsia="Times New Roman" w:hAnsi="Arial" w:cs="Arial"/>
                <w:b/>
                <w:color w:val="FF0000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2"/>
                </w:rPr>
                <m:t xml:space="preserve"> next=now…</m:t>
              </m:r>
            </m:oMath>
          </w:p>
        </w:tc>
      </w:tr>
      <w:tr w:rsidR="00A27238" w:rsidRPr="00827878" w:rsidTr="00434EF6">
        <w:trPr>
          <w:trHeight w:val="76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5135AE">
            <w:pPr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Exponential function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5135AE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111111"/>
                <w:sz w:val="22"/>
              </w:rPr>
            </w:pPr>
            <w:proofErr w:type="gramStart"/>
            <w:r w:rsidRPr="00827878">
              <w:rPr>
                <w:rFonts w:ascii="Arial" w:eastAsia="Times New Roman" w:hAnsi="Arial" w:cs="Arial"/>
                <w:bCs/>
                <w:color w:val="111111"/>
                <w:sz w:val="22"/>
              </w:rPr>
              <w:t>is</w:t>
            </w:r>
            <w:proofErr w:type="gramEnd"/>
            <w:r w:rsidRPr="00827878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used to model a relationship in which a constant change in the independent variable gives the same proportional change (percent of increase or decrease) in the dependent variable.</w:t>
            </w:r>
            <w:r w:rsidR="005135AE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ab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x</m:t>
                  </m:r>
                </m:sup>
              </m:sSup>
            </m:oMath>
          </w:p>
        </w:tc>
      </w:tr>
      <w:tr w:rsidR="00A27238" w:rsidRPr="00827878" w:rsidTr="00434EF6">
        <w:trPr>
          <w:trHeight w:val="76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5135AE">
            <w:pPr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Exponential Decay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A27238" w:rsidRPr="00827878" w:rsidRDefault="00A27238" w:rsidP="005135AE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111111"/>
                <w:sz w:val="22"/>
              </w:rPr>
            </w:pPr>
            <w:proofErr w:type="gramStart"/>
            <w:r w:rsidRPr="00827878">
              <w:rPr>
                <w:rFonts w:ascii="Arial" w:eastAsia="Times New Roman" w:hAnsi="Arial" w:cs="Arial"/>
                <w:bCs/>
                <w:color w:val="111111"/>
                <w:sz w:val="22"/>
              </w:rPr>
              <w:t>occurs</w:t>
            </w:r>
            <w:proofErr w:type="gramEnd"/>
            <w:r w:rsidRPr="00827878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when</w:t>
            </w:r>
            <w:r w:rsidR="005135AE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an exponential function has a </w:t>
            </w:r>
            <w:r w:rsidR="005135AE" w:rsidRPr="005135AE">
              <w:rPr>
                <w:rFonts w:ascii="Arial" w:eastAsia="Times New Roman" w:hAnsi="Arial" w:cs="Arial"/>
                <w:bCs/>
                <w:i/>
                <w:color w:val="111111"/>
                <w:sz w:val="22"/>
              </w:rPr>
              <w:t>b</w:t>
            </w:r>
            <w:r w:rsidRPr="00827878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value between 0 and 1.</w:t>
            </w:r>
            <w:r w:rsidR="005135AE">
              <w:rPr>
                <w:rFonts w:ascii="Arial" w:eastAsia="Times New Roman" w:hAnsi="Arial" w:cs="Arial"/>
                <w:bCs/>
                <w:color w:val="111111"/>
                <w:sz w:val="22"/>
              </w:rPr>
              <w:t xml:space="preserve">                         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ab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x</m:t>
                  </m:r>
                </m:sup>
              </m:sSup>
            </m:oMath>
            <w:r w:rsidR="005135AE">
              <w:rPr>
                <w:rFonts w:ascii="Arial" w:eastAsia="Times New Roman" w:hAnsi="Arial" w:cs="Arial"/>
                <w:b/>
                <w:color w:val="FF0000"/>
                <w:szCs w:val="22"/>
              </w:rPr>
              <w:t xml:space="preserve"> </w:t>
            </w:r>
            <w:r w:rsidR="005135AE" w:rsidRPr="005135AE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where 0</w:t>
            </w:r>
            <w:r w:rsidR="005135AE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&lt;b&lt;</w:t>
            </w:r>
            <w:r w:rsidR="005135AE" w:rsidRPr="005135AE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5135AE" w:rsidRPr="00827878" w:rsidTr="00434EF6">
        <w:trPr>
          <w:trHeight w:val="76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</w:tcPr>
          <w:p w:rsidR="005135AE" w:rsidRPr="00827878" w:rsidRDefault="005135AE" w:rsidP="005135AE">
            <w:pPr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 xml:space="preserve">Exponential growth </w:t>
            </w:r>
          </w:p>
        </w:tc>
        <w:tc>
          <w:tcPr>
            <w:tcW w:w="7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</w:tcPr>
          <w:p w:rsidR="005135AE" w:rsidRPr="00827878" w:rsidRDefault="005135AE" w:rsidP="005135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2"/>
                <w:szCs w:val="22"/>
              </w:rPr>
            </w:pPr>
            <w:proofErr w:type="gramStart"/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occurs</w:t>
            </w:r>
            <w:proofErr w:type="gramEnd"/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 xml:space="preserve"> when an exponential function has a 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2"/>
              </w:rPr>
              <w:t xml:space="preserve">b </w:t>
            </w:r>
            <w:r w:rsidRPr="00827878">
              <w:rPr>
                <w:rFonts w:ascii="Arial" w:eastAsia="Times New Roman" w:hAnsi="Arial" w:cs="Arial"/>
                <w:color w:val="111111"/>
                <w:sz w:val="22"/>
                <w:szCs w:val="22"/>
              </w:rPr>
              <w:t>value greater than 1.</w:t>
            </w:r>
            <m:oMath>
              <m:r>
                <w:rPr>
                  <w:rFonts w:ascii="Cambria Math" w:eastAsia="Times New Roman" w:hAnsi="Cambria Math" w:cs="Arial"/>
                  <w:color w:val="111111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/>
                      <w:i/>
                      <w:color w:val="FF000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ab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szCs w:val="22"/>
                    </w:rPr>
                    <m:t>x</m:t>
                  </m:r>
                </m:sup>
              </m:sSup>
            </m:oMath>
            <w:r>
              <w:rPr>
                <w:rFonts w:ascii="Arial" w:eastAsia="Times New Roman" w:hAnsi="Arial" w:cs="Arial"/>
                <w:b/>
                <w:color w:val="FF0000"/>
                <w:szCs w:val="22"/>
              </w:rPr>
              <w:t xml:space="preserve"> </w:t>
            </w:r>
            <w:r w:rsidRPr="005135AE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where b&gt;1</w:t>
            </w:r>
          </w:p>
        </w:tc>
      </w:tr>
      <w:tr w:rsidR="007804B6" w:rsidRPr="007804B6" w:rsidTr="000946EC">
        <w:trPr>
          <w:gridBefore w:val="1"/>
          <w:wBefore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804B6" w:rsidRPr="007804B6" w:rsidRDefault="007804B6" w:rsidP="007804B6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</w:rPr>
              <w:t>Quadratic 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804B6" w:rsidRPr="007804B6" w:rsidRDefault="007804B6" w:rsidP="007804B6">
            <w:pPr>
              <w:pStyle w:val="NoSpacing"/>
              <w:ind w:left="360"/>
              <w:rPr>
                <w:b/>
                <w:color w:val="FF0000"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y= 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+bx+c</m:t>
                </m:r>
              </m:oMath>
            </m:oMathPara>
          </w:p>
        </w:tc>
      </w:tr>
      <w:tr w:rsidR="007804B6" w:rsidRPr="007804B6" w:rsidTr="000946EC">
        <w:trPr>
          <w:gridBefore w:val="1"/>
          <w:wBefore w:w="23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804B6" w:rsidRPr="007804B6" w:rsidRDefault="007804B6" w:rsidP="000946EC">
            <w:pPr>
              <w:rPr>
                <w:rFonts w:ascii="Arial" w:eastAsia="Times New Roman" w:hAnsi="Arial" w:cs="Arial"/>
                <w:color w:val="111111"/>
              </w:rPr>
            </w:pPr>
            <w:r w:rsidRPr="007804B6">
              <w:rPr>
                <w:rFonts w:ascii="Arial" w:eastAsia="Times New Roman" w:hAnsi="Arial" w:cs="Arial"/>
                <w:color w:val="111111"/>
              </w:rPr>
              <w:t>axis of symmetry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804B6" w:rsidRDefault="007804B6" w:rsidP="000946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</w:rPr>
            </w:pPr>
            <w:r w:rsidRPr="007804B6">
              <w:rPr>
                <w:rFonts w:ascii="Arial" w:eastAsia="Times New Roman" w:hAnsi="Arial" w:cs="Arial"/>
                <w:color w:val="111111"/>
              </w:rPr>
              <w:t>Vertical line that intersects the vertex of a parabola. If the parabola is reflected across this line, it will match up perfectly on itself.</w:t>
            </w:r>
          </w:p>
          <w:p w:rsidR="0077331A" w:rsidRPr="0077331A" w:rsidRDefault="0077331A" w:rsidP="007733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sz w:val="28"/>
                  </w:rPr>
                  <m:t xml:space="preserve"> x=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8"/>
                      </w:rPr>
                      <m:t>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8"/>
                      </w:rPr>
                      <m:t>a</m:t>
                    </m:r>
                  </m:den>
                </m:f>
              </m:oMath>
            </m:oMathPara>
          </w:p>
        </w:tc>
      </w:tr>
    </w:tbl>
    <w:p w:rsidR="00A30D82" w:rsidRPr="00E2001B" w:rsidRDefault="00A30D82" w:rsidP="000D099A">
      <w:pPr>
        <w:rPr>
          <w:rFonts w:ascii="Impact" w:hAnsi="Impact"/>
        </w:rPr>
      </w:pPr>
    </w:p>
    <w:sectPr w:rsidR="00A30D82" w:rsidRPr="00E2001B" w:rsidSect="00A27238">
      <w:headerReference w:type="default" r:id="rId11"/>
      <w:headerReference w:type="first" r:id="rId12"/>
      <w:type w:val="continuous"/>
      <w:pgSz w:w="12240" w:h="15840"/>
      <w:pgMar w:top="1008" w:right="1008" w:bottom="450" w:left="1008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41" w:rsidRDefault="001C0141" w:rsidP="00837576">
      <w:r>
        <w:separator/>
      </w:r>
    </w:p>
  </w:endnote>
  <w:endnote w:type="continuationSeparator" w:id="0">
    <w:p w:rsidR="001C0141" w:rsidRDefault="001C0141" w:rsidP="008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41" w:rsidRDefault="001C0141" w:rsidP="00837576">
      <w:r>
        <w:separator/>
      </w:r>
    </w:p>
  </w:footnote>
  <w:footnote w:type="continuationSeparator" w:id="0">
    <w:p w:rsidR="001C0141" w:rsidRDefault="001C0141" w:rsidP="0083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EC" w:rsidRDefault="000946EC">
    <w:pPr>
      <w:pStyle w:val="Header"/>
    </w:pPr>
  </w:p>
  <w:p w:rsidR="000946EC" w:rsidRDefault="00094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EC" w:rsidRDefault="000946EC" w:rsidP="00837576">
    <w:pPr>
      <w:pStyle w:val="Header"/>
      <w:jc w:val="right"/>
    </w:pPr>
    <w:r>
      <w:t xml:space="preserve">Name: __________________________ </w:t>
    </w:r>
  </w:p>
  <w:p w:rsidR="000946EC" w:rsidRDefault="000946EC" w:rsidP="00837576">
    <w:pPr>
      <w:pStyle w:val="Header"/>
      <w:jc w:val="right"/>
    </w:pPr>
    <w:r>
      <w:t>Date: __________________ Pd: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01B"/>
    <w:rsid w:val="000946EC"/>
    <w:rsid w:val="000D099A"/>
    <w:rsid w:val="00186706"/>
    <w:rsid w:val="001C0141"/>
    <w:rsid w:val="001C6001"/>
    <w:rsid w:val="00216E11"/>
    <w:rsid w:val="00291359"/>
    <w:rsid w:val="00434EF6"/>
    <w:rsid w:val="004874C8"/>
    <w:rsid w:val="004C675F"/>
    <w:rsid w:val="005135AE"/>
    <w:rsid w:val="00561A43"/>
    <w:rsid w:val="00573E50"/>
    <w:rsid w:val="00603BC2"/>
    <w:rsid w:val="0077331A"/>
    <w:rsid w:val="007804B6"/>
    <w:rsid w:val="007C1573"/>
    <w:rsid w:val="00837576"/>
    <w:rsid w:val="008C6F15"/>
    <w:rsid w:val="009156DE"/>
    <w:rsid w:val="009963E9"/>
    <w:rsid w:val="00A27238"/>
    <w:rsid w:val="00A30D82"/>
    <w:rsid w:val="00AB331E"/>
    <w:rsid w:val="00AE1DA9"/>
    <w:rsid w:val="00B668DD"/>
    <w:rsid w:val="00B73547"/>
    <w:rsid w:val="00C53EB8"/>
    <w:rsid w:val="00C73285"/>
    <w:rsid w:val="00CA7159"/>
    <w:rsid w:val="00DB6258"/>
    <w:rsid w:val="00E2001B"/>
    <w:rsid w:val="00E9209F"/>
    <w:rsid w:val="00EC3791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379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C37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">
    <w:name w:val="apple"/>
    <w:basedOn w:val="DefaultParagraphFont"/>
    <w:rsid w:val="00EC3791"/>
  </w:style>
  <w:style w:type="character" w:customStyle="1" w:styleId="apple-converted-space">
    <w:name w:val="apple-converted-space"/>
    <w:basedOn w:val="DefaultParagraphFont"/>
    <w:rsid w:val="00EC3791"/>
  </w:style>
  <w:style w:type="character" w:styleId="Emphasis">
    <w:name w:val="Emphasis"/>
    <w:basedOn w:val="DefaultParagraphFont"/>
    <w:uiPriority w:val="20"/>
    <w:qFormat/>
    <w:rsid w:val="00EC37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7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76"/>
  </w:style>
  <w:style w:type="paragraph" w:styleId="Footer">
    <w:name w:val="footer"/>
    <w:basedOn w:val="Normal"/>
    <w:link w:val="FooterChar"/>
    <w:uiPriority w:val="99"/>
    <w:semiHidden/>
    <w:unhideWhenUsed/>
    <w:rsid w:val="00837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576"/>
  </w:style>
  <w:style w:type="paragraph" w:styleId="BalloonText">
    <w:name w:val="Balloon Text"/>
    <w:basedOn w:val="Normal"/>
    <w:link w:val="BalloonTextChar"/>
    <w:uiPriority w:val="99"/>
    <w:semiHidden/>
    <w:unhideWhenUsed/>
    <w:rsid w:val="0083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238"/>
  </w:style>
  <w:style w:type="character" w:styleId="PlaceholderText">
    <w:name w:val="Placeholder Text"/>
    <w:basedOn w:val="DefaultParagraphFont"/>
    <w:uiPriority w:val="99"/>
    <w:semiHidden/>
    <w:rsid w:val="005135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08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10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97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81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0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25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56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75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66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56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49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007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69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33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e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Haight</dc:creator>
  <cp:lastModifiedBy>Stacey Johnson</cp:lastModifiedBy>
  <cp:revision>4</cp:revision>
  <cp:lastPrinted>2012-08-22T11:39:00Z</cp:lastPrinted>
  <dcterms:created xsi:type="dcterms:W3CDTF">2013-03-07T22:03:00Z</dcterms:created>
  <dcterms:modified xsi:type="dcterms:W3CDTF">2013-03-15T13:23:00Z</dcterms:modified>
</cp:coreProperties>
</file>